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3ED162E6" w:rsidR="009777F6" w:rsidRPr="00123DFC" w:rsidRDefault="009777F6" w:rsidP="009777F6">
      <w:pPr>
        <w:pStyle w:val="CRCoverPage"/>
        <w:tabs>
          <w:tab w:val="right" w:pos="9639"/>
        </w:tabs>
        <w:spacing w:after="0"/>
        <w:rPr>
          <w:b/>
          <w:i/>
          <w:sz w:val="28"/>
          <w:lang w:val="de-DE"/>
        </w:rPr>
      </w:pPr>
      <w:r w:rsidRPr="00123DFC">
        <w:rPr>
          <w:b/>
          <w:sz w:val="24"/>
          <w:lang w:val="de-DE"/>
        </w:rPr>
        <w:t>3GPP TSG-RAN WG2 #12</w:t>
      </w:r>
      <w:r w:rsidR="00F56679" w:rsidRPr="00123DFC">
        <w:rPr>
          <w:b/>
          <w:sz w:val="24"/>
          <w:lang w:val="de-DE"/>
        </w:rPr>
        <w:t>5</w:t>
      </w:r>
      <w:r w:rsidR="00F56679" w:rsidRPr="00123DFC">
        <w:rPr>
          <w:b/>
          <w:sz w:val="24"/>
          <w:lang w:val="de-DE" w:eastAsia="zh-CN"/>
        </w:rPr>
        <w:t>b</w:t>
      </w:r>
      <w:r w:rsidR="00F56679" w:rsidRPr="00123DFC">
        <w:rPr>
          <w:b/>
          <w:sz w:val="24"/>
          <w:lang w:val="de-DE"/>
        </w:rPr>
        <w:t>is</w:t>
      </w:r>
      <w:r w:rsidRPr="00123DFC">
        <w:rPr>
          <w:b/>
          <w:i/>
          <w:sz w:val="28"/>
          <w:lang w:val="de-DE"/>
        </w:rPr>
        <w:tab/>
      </w:r>
      <w:r w:rsidRPr="00123DFC">
        <w:rPr>
          <w:rFonts w:cs="Arial"/>
          <w:b/>
          <w:bCs/>
          <w:color w:val="000000"/>
          <w:sz w:val="28"/>
          <w:szCs w:val="28"/>
          <w:lang w:val="de-DE"/>
        </w:rPr>
        <w:t>R2-</w:t>
      </w:r>
      <w:r w:rsidR="00123DFC" w:rsidRPr="00123DFC">
        <w:t xml:space="preserve"> </w:t>
      </w:r>
      <w:r w:rsidR="00123DFC" w:rsidRPr="00123DFC">
        <w:rPr>
          <w:rFonts w:cs="Arial"/>
          <w:b/>
          <w:bCs/>
          <w:color w:val="000000"/>
          <w:sz w:val="28"/>
          <w:szCs w:val="28"/>
          <w:lang w:val="de-DE"/>
        </w:rPr>
        <w:t>2402732</w:t>
      </w:r>
    </w:p>
    <w:p w14:paraId="3A13DE25" w14:textId="1FC68BC1" w:rsidR="009777F6" w:rsidRDefault="00C65E63" w:rsidP="009777F6">
      <w:pPr>
        <w:pStyle w:val="CRCoverPage"/>
        <w:tabs>
          <w:tab w:val="right" w:pos="9639"/>
        </w:tabs>
        <w:spacing w:after="0"/>
        <w:rPr>
          <w:b/>
          <w:noProof/>
          <w:sz w:val="24"/>
        </w:rPr>
      </w:pPr>
      <w:r>
        <w:rPr>
          <w:b/>
          <w:noProof/>
          <w:sz w:val="24"/>
        </w:rPr>
        <w:t>Changhsa</w:t>
      </w:r>
      <w:r w:rsidR="009777F6">
        <w:rPr>
          <w:b/>
          <w:noProof/>
          <w:sz w:val="24"/>
        </w:rPr>
        <w:t xml:space="preserve">, </w:t>
      </w:r>
      <w:r>
        <w:rPr>
          <w:b/>
          <w:noProof/>
          <w:sz w:val="24"/>
        </w:rPr>
        <w:t>China</w:t>
      </w:r>
      <w:r w:rsidR="009777F6">
        <w:rPr>
          <w:b/>
          <w:noProof/>
          <w:sz w:val="24"/>
        </w:rPr>
        <w:t xml:space="preserve">, </w:t>
      </w:r>
      <w:r>
        <w:rPr>
          <w:b/>
          <w:noProof/>
          <w:sz w:val="24"/>
        </w:rPr>
        <w:t>15</w:t>
      </w:r>
      <w:r w:rsidR="009777F6" w:rsidRPr="008637A2">
        <w:rPr>
          <w:b/>
          <w:noProof/>
          <w:sz w:val="24"/>
          <w:vertAlign w:val="superscript"/>
        </w:rPr>
        <w:t>th</w:t>
      </w:r>
      <w:r w:rsidR="009777F6">
        <w:rPr>
          <w:b/>
          <w:noProof/>
          <w:sz w:val="24"/>
        </w:rPr>
        <w:t xml:space="preserve"> – 1</w:t>
      </w:r>
      <w:r>
        <w:rPr>
          <w:b/>
          <w:noProof/>
          <w:sz w:val="24"/>
        </w:rPr>
        <w:t>9</w:t>
      </w:r>
      <w:r w:rsidR="009777F6" w:rsidRPr="00604584">
        <w:rPr>
          <w:b/>
          <w:noProof/>
          <w:sz w:val="24"/>
          <w:vertAlign w:val="superscript"/>
        </w:rPr>
        <w:t>th</w:t>
      </w:r>
      <w:r w:rsidR="009777F6">
        <w:rPr>
          <w:b/>
          <w:noProof/>
          <w:sz w:val="24"/>
        </w:rPr>
        <w:t xml:space="preserve"> </w:t>
      </w:r>
      <w:r>
        <w:rPr>
          <w:b/>
          <w:noProof/>
          <w:sz w:val="24"/>
        </w:rPr>
        <w:t xml:space="preserve">April </w:t>
      </w:r>
      <w:r w:rsidR="009777F6">
        <w:rPr>
          <w:b/>
          <w:noProof/>
          <w:sz w:val="24"/>
        </w:rPr>
        <w:t>202</w:t>
      </w:r>
      <w:r>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7A08FA05"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9F4A8F">
        <w:rPr>
          <w:rFonts w:cs="Arial"/>
          <w:b/>
          <w:bCs/>
          <w:sz w:val="24"/>
        </w:rPr>
        <w:t>4</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459249A"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123DFC" w:rsidRPr="00123DFC">
        <w:rPr>
          <w:rFonts w:cs="Arial"/>
          <w:b/>
          <w:bCs/>
          <w:sz w:val="24"/>
        </w:rPr>
        <w:t>Discussion on data collection for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7021A2DB" w:rsidR="00EB00FE" w:rsidRPr="00B257A3" w:rsidRDefault="001D322C"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we discuss issues related to data collection to train UE-sided </w:t>
      </w:r>
      <w:proofErr w:type="gramStart"/>
      <w:r>
        <w:rPr>
          <w:rFonts w:eastAsiaTheme="minorEastAsia" w:cs="Arial"/>
          <w:lang w:eastAsia="zh-CN"/>
        </w:rPr>
        <w:t>model</w:t>
      </w:r>
      <w:proofErr w:type="gramEnd"/>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tbl>
      <w:tblPr>
        <w:tblStyle w:val="TableGrid"/>
        <w:tblW w:w="0" w:type="auto"/>
        <w:tblLook w:val="04A0" w:firstRow="1" w:lastRow="0" w:firstColumn="1" w:lastColumn="0" w:noHBand="0" w:noVBand="1"/>
      </w:tblPr>
      <w:tblGrid>
        <w:gridCol w:w="9855"/>
      </w:tblGrid>
      <w:tr w:rsidR="00FD5541" w14:paraId="510244A3" w14:textId="77777777" w:rsidTr="0CE72F96">
        <w:trPr>
          <w:trHeight w:val="300"/>
        </w:trPr>
        <w:tc>
          <w:tcPr>
            <w:tcW w:w="9855" w:type="dxa"/>
          </w:tcPr>
          <w:p w14:paraId="4F86DEE7" w14:textId="2CE25304" w:rsidR="00FD5541" w:rsidRPr="008A2BFB" w:rsidRDefault="00FD5541" w:rsidP="00123DFC">
            <w:pPr>
              <w:rPr>
                <w:rFonts w:eastAsia="宋体"/>
              </w:rPr>
            </w:pPr>
            <w:r w:rsidRPr="00123DFC">
              <w:rPr>
                <w:rFonts w:eastAsia="宋体"/>
                <w:b/>
                <w:bCs/>
              </w:rPr>
              <w:t>TR 38.843</w:t>
            </w:r>
          </w:p>
          <w:p w14:paraId="6142F3EC" w14:textId="77777777" w:rsidR="00FD5541" w:rsidRDefault="00FD5541" w:rsidP="00FD5541">
            <w:pPr>
              <w:pStyle w:val="Heading5"/>
              <w:rPr>
                <w:lang w:eastAsia="en-US"/>
              </w:rPr>
            </w:pPr>
            <w:r>
              <w:t>7.2.1.3.2</w:t>
            </w:r>
            <w:r>
              <w:tab/>
              <w:t xml:space="preserve">Data collection for UE-side model training </w:t>
            </w:r>
          </w:p>
          <w:p w14:paraId="60948910" w14:textId="77777777" w:rsidR="00FD5541" w:rsidRDefault="00FD5541" w:rsidP="00FD5541">
            <w:r>
              <w:t xml:space="preserve">The following proposals were discussed in RAN2: </w:t>
            </w:r>
          </w:p>
          <w:p w14:paraId="3D5B0CF8" w14:textId="77777777" w:rsidR="00FD5541" w:rsidRPr="00123DFC" w:rsidRDefault="00FD5541" w:rsidP="00FD5541">
            <w:pPr>
              <w:pStyle w:val="B1"/>
              <w:rPr>
                <w:highlight w:val="yellow"/>
              </w:rPr>
            </w:pPr>
            <w:r w:rsidRPr="00123DFC">
              <w:rPr>
                <w:highlight w:val="yellow"/>
              </w:rPr>
              <w:t>1.</w:t>
            </w:r>
            <w:r w:rsidRPr="00123DFC">
              <w:rPr>
                <w:highlight w:val="yellow"/>
              </w:rPr>
              <w:tab/>
              <w:t xml:space="preserve">UE collects and directly transfers training data to the Over-The-Top (OTT) </w:t>
            </w:r>
            <w:proofErr w:type="gramStart"/>
            <w:r w:rsidRPr="00123DFC">
              <w:rPr>
                <w:highlight w:val="yellow"/>
              </w:rPr>
              <w:t>server;</w:t>
            </w:r>
            <w:proofErr w:type="gramEnd"/>
          </w:p>
          <w:p w14:paraId="690D5DFC" w14:textId="77777777" w:rsidR="00FD5541" w:rsidRPr="00123DFC" w:rsidRDefault="00FD5541" w:rsidP="00FD5541">
            <w:pPr>
              <w:pStyle w:val="B2"/>
              <w:rPr>
                <w:highlight w:val="yellow"/>
              </w:rPr>
            </w:pPr>
            <w:r w:rsidRPr="00123DFC">
              <w:rPr>
                <w:highlight w:val="yellow"/>
              </w:rPr>
              <w:t>1a)</w:t>
            </w:r>
            <w:r w:rsidRPr="00123DFC">
              <w:rPr>
                <w:highlight w:val="yellow"/>
              </w:rPr>
              <w:tab/>
              <w:t>OTT (</w:t>
            </w:r>
            <w:proofErr w:type="spellStart"/>
            <w:r w:rsidRPr="00123DFC">
              <w:rPr>
                <w:highlight w:val="yellow"/>
              </w:rPr>
              <w:t>TRansparent</w:t>
            </w:r>
            <w:proofErr w:type="spellEnd"/>
            <w:r w:rsidRPr="00123DFC">
              <w:rPr>
                <w:highlight w:val="yellow"/>
              </w:rPr>
              <w:t>)</w:t>
            </w:r>
          </w:p>
          <w:p w14:paraId="40DB68DC" w14:textId="77777777" w:rsidR="00FD5541" w:rsidRPr="00123DFC" w:rsidRDefault="00FD5541" w:rsidP="00FD5541">
            <w:pPr>
              <w:pStyle w:val="B2"/>
              <w:rPr>
                <w:highlight w:val="yellow"/>
              </w:rPr>
            </w:pPr>
            <w:r w:rsidRPr="00123DFC">
              <w:rPr>
                <w:highlight w:val="yellow"/>
              </w:rPr>
              <w:t>1b)</w:t>
            </w:r>
            <w:r w:rsidRPr="00123DFC">
              <w:rPr>
                <w:highlight w:val="yellow"/>
              </w:rPr>
              <w:tab/>
              <w:t>OTT (non-</w:t>
            </w:r>
            <w:proofErr w:type="spellStart"/>
            <w:r w:rsidRPr="00123DFC">
              <w:rPr>
                <w:highlight w:val="yellow"/>
              </w:rPr>
              <w:t>TRansparent</w:t>
            </w:r>
            <w:proofErr w:type="spellEnd"/>
            <w:r w:rsidRPr="00123DFC">
              <w:rPr>
                <w:highlight w:val="yellow"/>
              </w:rPr>
              <w:t>)</w:t>
            </w:r>
          </w:p>
          <w:p w14:paraId="3C52915F" w14:textId="77777777" w:rsidR="00FD5541" w:rsidRPr="00123DFC" w:rsidRDefault="00FD5541" w:rsidP="00FD5541">
            <w:pPr>
              <w:pStyle w:val="B1"/>
              <w:rPr>
                <w:highlight w:val="yellow"/>
              </w:rPr>
            </w:pPr>
            <w:r w:rsidRPr="00123DFC">
              <w:rPr>
                <w:highlight w:val="yellow"/>
              </w:rPr>
              <w:t>2.</w:t>
            </w:r>
            <w:r w:rsidRPr="00123DFC">
              <w:rPr>
                <w:highlight w:val="yellow"/>
              </w:rPr>
              <w:tab/>
              <w:t>UE collects training data and transfers it to Core Network. Core Network transfers the training data to the OTT server.</w:t>
            </w:r>
          </w:p>
          <w:p w14:paraId="469FADFF" w14:textId="77777777" w:rsidR="00FD5541" w:rsidRDefault="00FD5541" w:rsidP="00FD5541">
            <w:pPr>
              <w:pStyle w:val="B1"/>
            </w:pPr>
            <w:r w:rsidRPr="00123DFC">
              <w:rPr>
                <w:highlight w:val="yellow"/>
              </w:rPr>
              <w:t>3.</w:t>
            </w:r>
            <w:r w:rsidRPr="00123DFC">
              <w:rPr>
                <w:highlight w:val="yellow"/>
              </w:rPr>
              <w:tab/>
              <w:t>UE collects training data and transfers it to OAM. OAM transfers the needed data to the OTT server.</w:t>
            </w:r>
          </w:p>
          <w:p w14:paraId="76E2EA39" w14:textId="77777777" w:rsidR="00FD5541" w:rsidRDefault="00FD5541" w:rsidP="00FD5541">
            <w:r>
              <w:t>RAN2 did not study or analyse these proposals and did not agree to requirements or recommendations.</w:t>
            </w:r>
          </w:p>
          <w:p w14:paraId="573C4AA2" w14:textId="77777777" w:rsidR="00FD5541" w:rsidRDefault="00FD5541" w:rsidP="000A2976">
            <w:pPr>
              <w:pStyle w:val="Proposal"/>
              <w:numPr>
                <w:ilvl w:val="0"/>
                <w:numId w:val="0"/>
              </w:numPr>
              <w:rPr>
                <w:rFonts w:eastAsia="宋体"/>
              </w:rPr>
            </w:pPr>
          </w:p>
          <w:p w14:paraId="2593731A" w14:textId="77777777" w:rsidR="009B66AE" w:rsidRDefault="009B66AE" w:rsidP="009B66AE">
            <w:pPr>
              <w:pStyle w:val="Heading3"/>
              <w:rPr>
                <w:lang w:eastAsia="en-US"/>
              </w:rPr>
            </w:pPr>
            <w:bookmarkStart w:id="4" w:name="_Toc135002591"/>
            <w:bookmarkStart w:id="5" w:name="_Toc149657192"/>
            <w:r>
              <w:t>7.2.3</w:t>
            </w:r>
            <w:r>
              <w:tab/>
              <w:t>Beam management</w:t>
            </w:r>
            <w:bookmarkEnd w:id="4"/>
            <w:bookmarkEnd w:id="5"/>
          </w:p>
          <w:p w14:paraId="24B3836C" w14:textId="77777777" w:rsidR="009B66AE" w:rsidRDefault="009B66AE" w:rsidP="009B66AE">
            <w:r>
              <w:t xml:space="preserve">For beam management, the selection, (de)activation, switching, and fallback of models or functionalities can also be initiated by either the UE or the </w:t>
            </w:r>
            <w:proofErr w:type="spellStart"/>
            <w:r>
              <w:t>gNB</w:t>
            </w:r>
            <w:proofErr w:type="spellEnd"/>
            <w:r>
              <w:t>. For which it is important to distinguish the various cases and understand their applicability to UE-side versus network-side models.</w:t>
            </w:r>
          </w:p>
          <w:p w14:paraId="15C57D29" w14:textId="77777777" w:rsidR="009B66AE" w:rsidRDefault="009B66AE" w:rsidP="009B66AE">
            <w:r>
              <w:t>For data collection, model transfer/delivery, and function-to-entity mapping analysis, various scenarios unfold when the data generation and termination entities differ. For instance, for:</w:t>
            </w:r>
          </w:p>
          <w:p w14:paraId="545F46D7" w14:textId="77777777" w:rsidR="009B66AE" w:rsidRDefault="009B66AE" w:rsidP="009B66AE">
            <w:pPr>
              <w:pStyle w:val="B1"/>
            </w:pPr>
            <w:r>
              <w:t>-</w:t>
            </w:r>
            <w:r>
              <w:tab/>
              <w:t>Model Training:</w:t>
            </w:r>
          </w:p>
          <w:p w14:paraId="662D81BE" w14:textId="77777777" w:rsidR="009B66AE" w:rsidRPr="00123DFC" w:rsidRDefault="009B66AE" w:rsidP="009B66AE">
            <w:pPr>
              <w:pStyle w:val="B2"/>
              <w:rPr>
                <w:highlight w:val="yellow"/>
              </w:rPr>
            </w:pPr>
            <w:r>
              <w:rPr>
                <w:rFonts w:ascii="Courier New" w:hAnsi="Courier New" w:cs="Courier New"/>
              </w:rPr>
              <w:t>o</w:t>
            </w:r>
            <w:r>
              <w:rPr>
                <w:rFonts w:ascii="Courier New" w:hAnsi="Courier New" w:cs="Courier New"/>
              </w:rPr>
              <w:tab/>
            </w:r>
            <w:proofErr w:type="gramStart"/>
            <w:r w:rsidRPr="00123DFC">
              <w:rPr>
                <w:highlight w:val="yellow"/>
              </w:rPr>
              <w:t>For</w:t>
            </w:r>
            <w:proofErr w:type="gramEnd"/>
            <w:r w:rsidRPr="00123DFC">
              <w:rPr>
                <w:highlight w:val="yellow"/>
              </w:rPr>
              <w:t xml:space="preserve"> UE-side models, training data can be generated by the UE, while the termination point for training data may include the UE or a UE-side OTT server.</w:t>
            </w:r>
          </w:p>
          <w:p w14:paraId="7AD7357B" w14:textId="77777777" w:rsidR="009B66AE" w:rsidRPr="00123DFC" w:rsidRDefault="009B66AE" w:rsidP="009B66AE">
            <w:pPr>
              <w:pStyle w:val="B3"/>
              <w:rPr>
                <w:highlight w:val="yellow"/>
              </w:rPr>
            </w:pPr>
            <w:r w:rsidRPr="00123DFC">
              <w:rPr>
                <w:rFonts w:ascii="Wingdings" w:hAnsi="Wingdings" w:hint="eastAsia"/>
                <w:highlight w:val="yellow"/>
              </w:rPr>
              <w:t>§</w:t>
            </w:r>
            <w:r w:rsidRPr="00123DFC">
              <w:rPr>
                <w:rFonts w:ascii="Wingdings" w:hAnsi="Wingdings"/>
                <w:highlight w:val="yellow"/>
              </w:rPr>
              <w:tab/>
            </w:r>
            <w:r w:rsidRPr="00123DFC">
              <w:rPr>
                <w:highlight w:val="yellow"/>
              </w:rPr>
              <w:t xml:space="preserve">Note: RAN2 identified the cases in which OAM or Core Network may be used for UE-side model training. However, no study was conducted since this is beyond the scope of this Working Group. </w:t>
            </w:r>
          </w:p>
          <w:p w14:paraId="2D2B9942" w14:textId="77777777" w:rsidR="009B66AE" w:rsidRDefault="009B66AE" w:rsidP="009B66AE">
            <w:pPr>
              <w:pStyle w:val="B3"/>
            </w:pPr>
            <w:r w:rsidRPr="00123DFC">
              <w:rPr>
                <w:rFonts w:ascii="Wingdings" w:hAnsi="Wingdings" w:hint="eastAsia"/>
                <w:highlight w:val="yellow"/>
              </w:rPr>
              <w:t>§</w:t>
            </w:r>
            <w:r w:rsidRPr="00123DFC">
              <w:rPr>
                <w:rFonts w:ascii="Wingdings" w:hAnsi="Wingdings"/>
                <w:highlight w:val="yellow"/>
              </w:rPr>
              <w:tab/>
            </w:r>
            <w:r w:rsidRPr="00123DFC">
              <w:rPr>
                <w:highlight w:val="yellow"/>
              </w:rPr>
              <w:t xml:space="preserve">Note: RAN2 identified the case in which </w:t>
            </w:r>
            <w:proofErr w:type="spellStart"/>
            <w:r w:rsidRPr="00123DFC">
              <w:rPr>
                <w:highlight w:val="yellow"/>
              </w:rPr>
              <w:t>gNB</w:t>
            </w:r>
            <w:proofErr w:type="spellEnd"/>
            <w:r w:rsidRPr="00123DFC">
              <w:rPr>
                <w:highlight w:val="yellow"/>
              </w:rPr>
              <w:t xml:space="preserve"> may be used for UE-side model training. However, no conclusion was reached, as this depends on the RAN1 progress.</w:t>
            </w:r>
          </w:p>
          <w:p w14:paraId="4EBC3B0F" w14:textId="77777777" w:rsidR="00045AD0" w:rsidRDefault="00045AD0" w:rsidP="009B66AE">
            <w:pPr>
              <w:pStyle w:val="B3"/>
            </w:pPr>
          </w:p>
          <w:p w14:paraId="61CD98D0" w14:textId="77777777" w:rsidR="00045AD0" w:rsidRDefault="00045AD0" w:rsidP="00045AD0">
            <w:pPr>
              <w:pStyle w:val="Heading3"/>
              <w:rPr>
                <w:lang w:eastAsia="en-US"/>
              </w:rPr>
            </w:pPr>
            <w:bookmarkStart w:id="6" w:name="_Toc135002592"/>
            <w:bookmarkStart w:id="7" w:name="_Toc149657193"/>
            <w:r>
              <w:lastRenderedPageBreak/>
              <w:t>7.2.4</w:t>
            </w:r>
            <w:r>
              <w:tab/>
              <w:t>Positioning accuracy enhancements</w:t>
            </w:r>
            <w:bookmarkEnd w:id="6"/>
            <w:bookmarkEnd w:id="7"/>
          </w:p>
          <w:p w14:paraId="276C4D5D" w14:textId="77777777" w:rsidR="00045AD0" w:rsidRDefault="00045AD0" w:rsidP="00045AD0">
            <w:r>
              <w:t xml:space="preserve">For the positioning use cases, the selection, (de)activation, switching, and fallback of models or functionalities can be initiated by either the UE, the </w:t>
            </w:r>
            <w:proofErr w:type="spellStart"/>
            <w:r>
              <w:t>gNB</w:t>
            </w:r>
            <w:proofErr w:type="spellEnd"/>
            <w:r>
              <w:t>, or the LMF. For which it is important to distinguish the various cases and understand their applicability to UE-side versus network-side models.</w:t>
            </w:r>
          </w:p>
          <w:p w14:paraId="00E0AE8C" w14:textId="77777777" w:rsidR="00045AD0" w:rsidRDefault="00045AD0" w:rsidP="00045AD0">
            <w:r>
              <w:t>For data collection, model transfer/delivery, and function-to-entity mapping analysis, various scenarios unfold when the data generation and termination entities differ. For instance, for:</w:t>
            </w:r>
          </w:p>
          <w:p w14:paraId="4694E875" w14:textId="77777777" w:rsidR="00045AD0" w:rsidRDefault="00045AD0" w:rsidP="00045AD0">
            <w:pPr>
              <w:pStyle w:val="B1"/>
            </w:pPr>
            <w:r>
              <w:t>-</w:t>
            </w:r>
            <w:r>
              <w:tab/>
              <w:t>Model Training:</w:t>
            </w:r>
          </w:p>
          <w:p w14:paraId="59A6A1CD" w14:textId="77777777" w:rsidR="00045AD0" w:rsidRPr="00123DFC" w:rsidRDefault="00045AD0" w:rsidP="00045AD0">
            <w:pPr>
              <w:pStyle w:val="B2"/>
              <w:rPr>
                <w:highlight w:val="yellow"/>
              </w:rPr>
            </w:pPr>
            <w:r>
              <w:rPr>
                <w:rFonts w:ascii="Courier New" w:hAnsi="Courier New" w:cs="Courier New"/>
              </w:rPr>
              <w:t>o</w:t>
            </w:r>
            <w:r>
              <w:rPr>
                <w:rFonts w:ascii="Courier New" w:hAnsi="Courier New" w:cs="Courier New"/>
              </w:rPr>
              <w:tab/>
            </w:r>
            <w:proofErr w:type="gramStart"/>
            <w:r w:rsidRPr="00123DFC">
              <w:rPr>
                <w:highlight w:val="yellow"/>
              </w:rPr>
              <w:t>For</w:t>
            </w:r>
            <w:proofErr w:type="gramEnd"/>
            <w:r w:rsidRPr="00123DFC">
              <w:rPr>
                <w:highlight w:val="yellow"/>
              </w:rPr>
              <w:t xml:space="preserve"> UE-side models, training data can be generated by the UE, while the termination point for training data may include the UE or a UE-side OTT server. </w:t>
            </w:r>
          </w:p>
          <w:p w14:paraId="689A1DD8" w14:textId="77777777" w:rsidR="00045AD0" w:rsidRPr="00123DFC" w:rsidRDefault="00045AD0" w:rsidP="00045AD0">
            <w:pPr>
              <w:pStyle w:val="B3"/>
              <w:rPr>
                <w:highlight w:val="yellow"/>
              </w:rPr>
            </w:pPr>
            <w:r w:rsidRPr="00123DFC">
              <w:rPr>
                <w:rFonts w:ascii="Wingdings" w:hAnsi="Wingdings" w:hint="eastAsia"/>
                <w:highlight w:val="yellow"/>
              </w:rPr>
              <w:t>§</w:t>
            </w:r>
            <w:r w:rsidRPr="00123DFC">
              <w:rPr>
                <w:rFonts w:ascii="Wingdings" w:hAnsi="Wingdings"/>
                <w:highlight w:val="yellow"/>
              </w:rPr>
              <w:tab/>
            </w:r>
            <w:r w:rsidRPr="00123DFC">
              <w:rPr>
                <w:highlight w:val="yellow"/>
              </w:rPr>
              <w:t>Note: RAN2 identified the cases in which OAM or Core Network may be used for UE-side model training. However, no study was conducted since this is beyond the scope of this Working Group.</w:t>
            </w:r>
          </w:p>
          <w:p w14:paraId="7B77E8A4" w14:textId="77777777" w:rsidR="00045AD0" w:rsidRDefault="00045AD0" w:rsidP="00045AD0">
            <w:pPr>
              <w:pStyle w:val="B3"/>
            </w:pPr>
            <w:r w:rsidRPr="00123DFC">
              <w:rPr>
                <w:rFonts w:ascii="Wingdings" w:hAnsi="Wingdings" w:hint="eastAsia"/>
                <w:highlight w:val="yellow"/>
              </w:rPr>
              <w:t>§</w:t>
            </w:r>
            <w:r w:rsidRPr="00123DFC">
              <w:rPr>
                <w:rFonts w:ascii="Wingdings" w:hAnsi="Wingdings"/>
                <w:highlight w:val="yellow"/>
              </w:rPr>
              <w:tab/>
            </w:r>
            <w:r w:rsidRPr="00123DFC">
              <w:rPr>
                <w:highlight w:val="yellow"/>
              </w:rPr>
              <w:t>Note: RAN2 identified the case in which LMF may be used for UE-side model training. However, no conclusion was reached, as this depends on the RAN1 progress.</w:t>
            </w:r>
          </w:p>
          <w:p w14:paraId="45866CA1" w14:textId="189C9FA3" w:rsidR="00150F38" w:rsidRDefault="00150F38" w:rsidP="000A2976">
            <w:pPr>
              <w:pStyle w:val="Proposal"/>
              <w:numPr>
                <w:ilvl w:val="0"/>
                <w:numId w:val="0"/>
              </w:numPr>
              <w:rPr>
                <w:rFonts w:eastAsia="宋体"/>
              </w:rPr>
            </w:pPr>
          </w:p>
        </w:tc>
      </w:tr>
    </w:tbl>
    <w:p w14:paraId="3449163A" w14:textId="77777777" w:rsidR="00406325" w:rsidRDefault="00406325" w:rsidP="000A2976">
      <w:pPr>
        <w:pStyle w:val="Proposal"/>
        <w:numPr>
          <w:ilvl w:val="0"/>
          <w:numId w:val="0"/>
        </w:numPr>
        <w:rPr>
          <w:rFonts w:eastAsia="宋体"/>
        </w:rPr>
      </w:pPr>
    </w:p>
    <w:p w14:paraId="406E3674" w14:textId="77318760" w:rsidR="00216930" w:rsidRDefault="007436E1" w:rsidP="007436E1">
      <w:pPr>
        <w:rPr>
          <w:rFonts w:eastAsia="宋体"/>
          <w:lang w:eastAsia="zh-CN"/>
        </w:rPr>
      </w:pPr>
      <w:r>
        <w:rPr>
          <w:rFonts w:eastAsia="宋体" w:hint="eastAsia"/>
          <w:lang w:eastAsia="zh-CN"/>
        </w:rPr>
        <w:t>I</w:t>
      </w:r>
      <w:r>
        <w:rPr>
          <w:rFonts w:eastAsia="宋体"/>
          <w:lang w:eastAsia="zh-CN"/>
        </w:rPr>
        <w:t xml:space="preserve">n the previous RAN2 discussion, </w:t>
      </w:r>
      <w:r w:rsidR="000314B2">
        <w:rPr>
          <w:rFonts w:eastAsia="宋体"/>
          <w:lang w:eastAsia="zh-CN"/>
        </w:rPr>
        <w:t>it has been w</w:t>
      </w:r>
      <w:r w:rsidR="00B330A0">
        <w:rPr>
          <w:rFonts w:eastAsia="宋体"/>
          <w:lang w:eastAsia="zh-CN"/>
        </w:rPr>
        <w:t>idely discussed how UE will transmit the collected training data to NW (OTT, OAM, CN) assuming the UE-sided model training takes place in NW.</w:t>
      </w:r>
      <w:r w:rsidR="008A2BFB">
        <w:rPr>
          <w:rFonts w:eastAsia="宋体"/>
          <w:lang w:eastAsia="zh-CN"/>
        </w:rPr>
        <w:t xml:space="preserve"> This is however very controversial since companies have different positions. In addition, </w:t>
      </w:r>
      <w:r w:rsidR="008042FA">
        <w:rPr>
          <w:rFonts w:eastAsia="宋体"/>
          <w:lang w:eastAsia="zh-CN"/>
        </w:rPr>
        <w:t>the relevant aspect is out of SA2’s scope in their Rel19 SI</w:t>
      </w:r>
      <w:r w:rsidR="001D6856">
        <w:rPr>
          <w:rFonts w:eastAsia="宋体"/>
          <w:lang w:eastAsia="zh-CN"/>
        </w:rPr>
        <w:t xml:space="preserve"> </w:t>
      </w:r>
      <w:r w:rsidR="001D6856" w:rsidRPr="001D6856">
        <w:rPr>
          <w:rFonts w:eastAsia="宋体"/>
          <w:lang w:eastAsia="zh-CN"/>
        </w:rPr>
        <w:t>SP-231800</w:t>
      </w:r>
      <w:r w:rsidR="008042FA">
        <w:rPr>
          <w:rFonts w:eastAsia="宋体"/>
          <w:lang w:eastAsia="zh-CN"/>
        </w:rPr>
        <w:t>, and SA2 will simply follow</w:t>
      </w:r>
      <w:r w:rsidR="00DA169F">
        <w:rPr>
          <w:rFonts w:eastAsia="宋体"/>
          <w:lang w:eastAsia="zh-CN"/>
        </w:rPr>
        <w:t xml:space="preserve"> RAN conclusion. </w:t>
      </w:r>
    </w:p>
    <w:p w14:paraId="3FD762A1" w14:textId="0BD0FA94" w:rsidR="00DA169F" w:rsidRDefault="00DA169F" w:rsidP="00123DFC">
      <w:pPr>
        <w:pStyle w:val="Observation"/>
        <w:rPr>
          <w:rFonts w:eastAsia="宋体"/>
        </w:rPr>
      </w:pPr>
      <w:bookmarkStart w:id="8" w:name="_Toc163159841"/>
      <w:r>
        <w:rPr>
          <w:rFonts w:eastAsia="宋体"/>
        </w:rPr>
        <w:t>Data collection for UE-sided model training with CN involvement is out of SA2’s scope Rel19 SI.</w:t>
      </w:r>
      <w:bookmarkEnd w:id="8"/>
    </w:p>
    <w:p w14:paraId="7C2469AE" w14:textId="25BB787A" w:rsidR="003F1828" w:rsidRDefault="00216930" w:rsidP="007436E1">
      <w:pPr>
        <w:rPr>
          <w:rFonts w:eastAsia="宋体"/>
          <w:lang w:eastAsia="zh-CN"/>
        </w:rPr>
      </w:pPr>
      <w:r>
        <w:rPr>
          <w:rFonts w:eastAsia="宋体" w:hint="eastAsia"/>
          <w:lang w:eastAsia="zh-CN"/>
        </w:rPr>
        <w:t>A</w:t>
      </w:r>
      <w:r>
        <w:rPr>
          <w:rFonts w:eastAsia="宋体"/>
          <w:lang w:eastAsia="zh-CN"/>
        </w:rPr>
        <w:t>nother scenario</w:t>
      </w:r>
      <w:r w:rsidR="00677C44">
        <w:rPr>
          <w:rFonts w:eastAsia="宋体"/>
          <w:lang w:eastAsia="zh-CN"/>
        </w:rPr>
        <w:t xml:space="preserve"> discussed</w:t>
      </w:r>
      <w:r w:rsidR="007215EB">
        <w:rPr>
          <w:rFonts w:eastAsia="宋体"/>
          <w:lang w:eastAsia="zh-CN"/>
        </w:rPr>
        <w:t>,</w:t>
      </w:r>
      <w:r w:rsidR="00677C44">
        <w:rPr>
          <w:rFonts w:eastAsia="宋体"/>
          <w:lang w:eastAsia="zh-CN"/>
        </w:rPr>
        <w:t xml:space="preserve"> but not </w:t>
      </w:r>
      <w:r w:rsidR="007215EB">
        <w:rPr>
          <w:rFonts w:eastAsia="宋体"/>
          <w:lang w:eastAsia="zh-CN"/>
        </w:rPr>
        <w:t>included</w:t>
      </w:r>
      <w:r w:rsidR="00677C44">
        <w:rPr>
          <w:rFonts w:eastAsia="宋体"/>
          <w:lang w:eastAsia="zh-CN"/>
        </w:rPr>
        <w:t xml:space="preserve"> in </w:t>
      </w:r>
      <w:r w:rsidR="00677C44">
        <w:t>7.2.1.3.2</w:t>
      </w:r>
      <w:r w:rsidR="00677C44">
        <w:rPr>
          <w:rFonts w:eastAsia="宋体"/>
          <w:lang w:eastAsia="zh-CN"/>
        </w:rPr>
        <w:t>,</w:t>
      </w:r>
      <w:r>
        <w:rPr>
          <w:rFonts w:eastAsia="宋体"/>
          <w:lang w:eastAsia="zh-CN"/>
        </w:rPr>
        <w:t xml:space="preserve"> </w:t>
      </w:r>
      <w:r w:rsidR="008A74DF" w:rsidRPr="008A74DF">
        <w:rPr>
          <w:rFonts w:eastAsia="宋体"/>
          <w:lang w:eastAsia="zh-CN"/>
        </w:rPr>
        <w:t>involves the UE conducting model training internally</w:t>
      </w:r>
      <w:r w:rsidR="003F1828">
        <w:rPr>
          <w:rFonts w:eastAsia="宋体"/>
          <w:lang w:eastAsia="zh-CN"/>
        </w:rPr>
        <w:t xml:space="preserve">. In this scenario, UE does not need to transfer </w:t>
      </w:r>
      <w:r>
        <w:rPr>
          <w:rFonts w:eastAsia="宋体"/>
          <w:lang w:eastAsia="zh-CN"/>
        </w:rPr>
        <w:t xml:space="preserve">the collected data to the </w:t>
      </w:r>
      <w:r w:rsidR="008A74DF">
        <w:rPr>
          <w:rFonts w:eastAsia="宋体"/>
          <w:lang w:eastAsia="zh-CN"/>
        </w:rPr>
        <w:t>network entities</w:t>
      </w:r>
      <w:r>
        <w:rPr>
          <w:rFonts w:eastAsia="宋体"/>
          <w:lang w:eastAsia="zh-CN"/>
        </w:rPr>
        <w:t xml:space="preserve"> (OTT, OAM, CN). </w:t>
      </w:r>
      <w:r w:rsidR="00677C44">
        <w:rPr>
          <w:rFonts w:eastAsia="宋体"/>
          <w:lang w:eastAsia="zh-CN"/>
        </w:rPr>
        <w:t xml:space="preserve">Such scenario seems less </w:t>
      </w:r>
      <w:r w:rsidR="008A74DF">
        <w:rPr>
          <w:rFonts w:eastAsia="宋体"/>
          <w:lang w:eastAsia="zh-CN"/>
        </w:rPr>
        <w:t>controversial and</w:t>
      </w:r>
      <w:r w:rsidR="00677C44">
        <w:rPr>
          <w:rFonts w:eastAsia="宋体"/>
          <w:lang w:eastAsia="zh-CN"/>
        </w:rPr>
        <w:t xml:space="preserve"> may be considered as a start</w:t>
      </w:r>
      <w:r w:rsidR="003020BC">
        <w:rPr>
          <w:rFonts w:eastAsia="宋体"/>
          <w:lang w:eastAsia="zh-CN"/>
        </w:rPr>
        <w:t>ing</w:t>
      </w:r>
      <w:r w:rsidR="00677C44">
        <w:rPr>
          <w:rFonts w:eastAsia="宋体"/>
          <w:lang w:eastAsia="zh-CN"/>
        </w:rPr>
        <w:t xml:space="preserve"> point for the sake of RAN2 discussion.</w:t>
      </w:r>
      <w:r w:rsidR="00962FF7">
        <w:rPr>
          <w:rFonts w:eastAsia="宋体"/>
          <w:lang w:eastAsia="zh-CN"/>
        </w:rPr>
        <w:t xml:space="preserve"> </w:t>
      </w:r>
      <w:proofErr w:type="gramStart"/>
      <w:r w:rsidR="00962FF7">
        <w:rPr>
          <w:rFonts w:eastAsia="宋体"/>
          <w:lang w:eastAsia="zh-CN"/>
        </w:rPr>
        <w:t>So</w:t>
      </w:r>
      <w:proofErr w:type="gramEnd"/>
      <w:r w:rsidR="00962FF7">
        <w:rPr>
          <w:rFonts w:eastAsia="宋体"/>
          <w:lang w:eastAsia="zh-CN"/>
        </w:rPr>
        <w:t xml:space="preserve"> it would be beneficial if RAN2 can confirm the support of this scenario. </w:t>
      </w:r>
    </w:p>
    <w:p w14:paraId="7FC96FC9" w14:textId="6E572637" w:rsidR="00B9341F" w:rsidRDefault="003F1828" w:rsidP="007436E1">
      <w:pPr>
        <w:rPr>
          <w:rFonts w:eastAsia="宋体"/>
          <w:lang w:eastAsia="zh-CN"/>
        </w:rPr>
      </w:pPr>
      <w:r>
        <w:rPr>
          <w:rFonts w:eastAsia="宋体"/>
          <w:lang w:eastAsia="zh-CN"/>
        </w:rPr>
        <w:t>From RAN2 point of view</w:t>
      </w:r>
      <w:r w:rsidR="00216930">
        <w:rPr>
          <w:rFonts w:eastAsia="宋体"/>
          <w:lang w:eastAsia="zh-CN"/>
        </w:rPr>
        <w:t xml:space="preserve">, </w:t>
      </w:r>
      <w:r w:rsidR="00F20AAA">
        <w:rPr>
          <w:rFonts w:eastAsia="宋体"/>
          <w:lang w:eastAsia="zh-CN"/>
        </w:rPr>
        <w:t xml:space="preserve">there may be still </w:t>
      </w:r>
      <w:r w:rsidR="003020BC">
        <w:rPr>
          <w:rFonts w:eastAsia="宋体"/>
          <w:lang w:eastAsia="zh-CN"/>
        </w:rPr>
        <w:t xml:space="preserve">some </w:t>
      </w:r>
      <w:r w:rsidR="00F20AAA">
        <w:rPr>
          <w:rFonts w:eastAsia="宋体"/>
          <w:lang w:eastAsia="zh-CN"/>
        </w:rPr>
        <w:t>specification impact, for example, UE may need to request specific measurement configuration</w:t>
      </w:r>
      <w:r w:rsidR="003020BC">
        <w:rPr>
          <w:rFonts w:eastAsia="宋体"/>
          <w:lang w:eastAsia="zh-CN"/>
        </w:rPr>
        <w:t>s</w:t>
      </w:r>
      <w:r w:rsidR="00F20AAA">
        <w:rPr>
          <w:rFonts w:eastAsia="宋体"/>
          <w:lang w:eastAsia="zh-CN"/>
        </w:rPr>
        <w:t xml:space="preserve"> from NW that can be used </w:t>
      </w:r>
      <w:r w:rsidR="003020BC">
        <w:rPr>
          <w:rFonts w:eastAsia="宋体"/>
          <w:lang w:eastAsia="zh-CN"/>
        </w:rPr>
        <w:t>for</w:t>
      </w:r>
      <w:r w:rsidR="00677C44">
        <w:rPr>
          <w:rFonts w:eastAsia="宋体"/>
          <w:lang w:eastAsia="zh-CN"/>
        </w:rPr>
        <w:t xml:space="preserve"> training data</w:t>
      </w:r>
      <w:r w:rsidR="003020BC">
        <w:rPr>
          <w:rFonts w:eastAsia="宋体"/>
          <w:lang w:eastAsia="zh-CN"/>
        </w:rPr>
        <w:t xml:space="preserve"> collection</w:t>
      </w:r>
      <w:r w:rsidR="00F20AAA">
        <w:rPr>
          <w:rFonts w:eastAsia="宋体"/>
          <w:lang w:eastAsia="zh-CN"/>
        </w:rPr>
        <w:t xml:space="preserve">. </w:t>
      </w:r>
    </w:p>
    <w:p w14:paraId="18053CA5" w14:textId="2061FE19" w:rsidR="003F1828" w:rsidRDefault="003F1828" w:rsidP="003F1828">
      <w:pPr>
        <w:pStyle w:val="Proposal"/>
        <w:rPr>
          <w:rFonts w:eastAsia="宋体"/>
        </w:rPr>
      </w:pPr>
      <w:bookmarkStart w:id="9" w:name="_Toc163159839"/>
      <w:r>
        <w:rPr>
          <w:rFonts w:eastAsia="宋体" w:hint="eastAsia"/>
        </w:rPr>
        <w:t>R</w:t>
      </w:r>
      <w:r>
        <w:rPr>
          <w:rFonts w:eastAsia="宋体"/>
        </w:rPr>
        <w:t xml:space="preserve">AN2 </w:t>
      </w:r>
      <w:r w:rsidR="00677C44">
        <w:rPr>
          <w:rFonts w:eastAsia="宋体"/>
        </w:rPr>
        <w:t>confirms to support</w:t>
      </w:r>
      <w:r w:rsidR="00CF1BA1">
        <w:rPr>
          <w:rFonts w:eastAsia="宋体"/>
        </w:rPr>
        <w:t xml:space="preserve"> the scenario where the UE-sided model training takes place </w:t>
      </w:r>
      <w:r w:rsidR="6AE466FC" w:rsidRPr="1A822DA4">
        <w:rPr>
          <w:rFonts w:eastAsia="宋体"/>
        </w:rPr>
        <w:t>only</w:t>
      </w:r>
      <w:r w:rsidR="00CF1BA1" w:rsidRPr="1A822DA4">
        <w:rPr>
          <w:rFonts w:eastAsia="宋体"/>
        </w:rPr>
        <w:t xml:space="preserve"> </w:t>
      </w:r>
      <w:r w:rsidR="00CF1BA1">
        <w:rPr>
          <w:rFonts w:eastAsia="宋体"/>
        </w:rPr>
        <w:t xml:space="preserve">within UE and UE will </w:t>
      </w:r>
      <w:r w:rsidR="003020BC">
        <w:rPr>
          <w:rFonts w:eastAsia="宋体"/>
        </w:rPr>
        <w:t xml:space="preserve">hence </w:t>
      </w:r>
      <w:r w:rsidR="00CF1BA1">
        <w:rPr>
          <w:rFonts w:eastAsia="宋体"/>
        </w:rPr>
        <w:t>not transfer the collected training data to NW.</w:t>
      </w:r>
      <w:bookmarkEnd w:id="9"/>
      <w:r w:rsidR="00CF1BA1">
        <w:rPr>
          <w:rFonts w:eastAsia="宋体"/>
        </w:rPr>
        <w:t xml:space="preserve"> </w:t>
      </w:r>
    </w:p>
    <w:p w14:paraId="319047F9" w14:textId="6B8D7579" w:rsidR="00677C44" w:rsidRPr="00677C44" w:rsidRDefault="00CF1BA1" w:rsidP="00123DFC">
      <w:pPr>
        <w:pStyle w:val="Proposal"/>
        <w:rPr>
          <w:rFonts w:eastAsia="宋体"/>
        </w:rPr>
      </w:pPr>
      <w:bookmarkStart w:id="10" w:name="_Toc163159840"/>
      <w:r w:rsidRPr="7FB89423">
        <w:rPr>
          <w:rFonts w:eastAsia="宋体"/>
        </w:rPr>
        <w:t xml:space="preserve">If the scenario in P1 is supported, </w:t>
      </w:r>
      <w:r w:rsidR="00705DFD" w:rsidRPr="7FB89423">
        <w:rPr>
          <w:rFonts w:eastAsia="宋体"/>
        </w:rPr>
        <w:t xml:space="preserve">RAN2 </w:t>
      </w:r>
      <w:r w:rsidR="00677C44" w:rsidRPr="7FB89423">
        <w:rPr>
          <w:rFonts w:eastAsia="宋体"/>
        </w:rPr>
        <w:t xml:space="preserve">further </w:t>
      </w:r>
      <w:r w:rsidR="005F21C8" w:rsidRPr="7FB89423">
        <w:rPr>
          <w:rFonts w:eastAsia="宋体"/>
        </w:rPr>
        <w:t>analyse</w:t>
      </w:r>
      <w:r w:rsidR="009D5A39" w:rsidRPr="7FB89423">
        <w:rPr>
          <w:rFonts w:eastAsia="宋体"/>
        </w:rPr>
        <w:t>s</w:t>
      </w:r>
      <w:r w:rsidR="00677C44" w:rsidRPr="7FB89423">
        <w:rPr>
          <w:rFonts w:eastAsia="宋体"/>
        </w:rPr>
        <w:t xml:space="preserve"> approaches for UE to request measurement configurations from NW </w:t>
      </w:r>
      <w:r w:rsidR="009D5A39" w:rsidRPr="7FB89423">
        <w:rPr>
          <w:rFonts w:eastAsia="宋体"/>
        </w:rPr>
        <w:t>for</w:t>
      </w:r>
      <w:r w:rsidR="00677C44" w:rsidRPr="7FB89423">
        <w:rPr>
          <w:rFonts w:eastAsia="宋体"/>
        </w:rPr>
        <w:t xml:space="preserve"> collect</w:t>
      </w:r>
      <w:r w:rsidR="009D5A39" w:rsidRPr="7FB89423">
        <w:rPr>
          <w:rFonts w:eastAsia="宋体"/>
        </w:rPr>
        <w:t>ing</w:t>
      </w:r>
      <w:r w:rsidR="00677C44" w:rsidRPr="7FB89423">
        <w:rPr>
          <w:rFonts w:eastAsia="宋体"/>
        </w:rPr>
        <w:t xml:space="preserve"> the training data</w:t>
      </w:r>
      <w:r w:rsidR="009D5A39" w:rsidRPr="7FB89423">
        <w:rPr>
          <w:rFonts w:eastAsia="宋体"/>
        </w:rPr>
        <w:t xml:space="preserve"> demanded by UE</w:t>
      </w:r>
      <w:r w:rsidR="00677C44" w:rsidRPr="7FB89423">
        <w:rPr>
          <w:rFonts w:eastAsia="宋体"/>
        </w:rPr>
        <w:t>. FFS if the same approach can be used for other scenarios too, wherein NW (OAM, OTT, CN) trains the UE-sided model</w:t>
      </w:r>
      <w:r w:rsidR="74E77A79" w:rsidRPr="7FB89423">
        <w:rPr>
          <w:rFonts w:eastAsia="宋体"/>
        </w:rPr>
        <w:t>.</w:t>
      </w:r>
      <w:bookmarkEnd w:id="10"/>
      <w:r w:rsidR="2606895F" w:rsidRPr="7FB89423">
        <w:rPr>
          <w:rFonts w:eastAsia="宋体"/>
        </w:rPr>
        <w:t xml:space="preserve"> </w:t>
      </w: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7CBB1D46" w14:textId="6C413F81" w:rsidR="00865409"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63159841" w:history="1">
        <w:r w:rsidR="00865409" w:rsidRPr="00101ACC">
          <w:rPr>
            <w:rStyle w:val="Hyperlink"/>
            <w:rFonts w:eastAsia="宋体"/>
            <w:noProof/>
            <w14:scene3d>
              <w14:camera w14:prst="orthographicFront"/>
              <w14:lightRig w14:rig="threePt" w14:dir="t">
                <w14:rot w14:lat="0" w14:lon="0" w14:rev="0"/>
              </w14:lightRig>
            </w14:scene3d>
          </w:rPr>
          <w:t>Observation 1</w:t>
        </w:r>
        <w:r w:rsidR="00865409">
          <w:rPr>
            <w:rFonts w:asciiTheme="minorHAnsi" w:eastAsiaTheme="minorEastAsia" w:hAnsiTheme="minorHAnsi" w:cstheme="minorBidi"/>
            <w:b w:val="0"/>
            <w:noProof/>
            <w:kern w:val="2"/>
            <w:sz w:val="21"/>
            <w:szCs w:val="22"/>
            <w:lang w:val="en-US" w:eastAsia="zh-CN"/>
            <w14:ligatures w14:val="standardContextual"/>
          </w:rPr>
          <w:tab/>
        </w:r>
        <w:r w:rsidR="00865409" w:rsidRPr="00101ACC">
          <w:rPr>
            <w:rStyle w:val="Hyperlink"/>
            <w:rFonts w:eastAsia="宋体"/>
            <w:noProof/>
          </w:rPr>
          <w:t>Data collection for UE-sided model training with CN involvement is out of SA2’s scope Rel19 SI.</w:t>
        </w:r>
      </w:hyperlink>
    </w:p>
    <w:p w14:paraId="7E6CB4BC" w14:textId="315EFAB8"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3E397AA8" w14:textId="75B63DDD" w:rsidR="00865409"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3159839" w:history="1">
        <w:r w:rsidR="00865409" w:rsidRPr="00E905A6">
          <w:rPr>
            <w:rStyle w:val="Hyperlink"/>
            <w:rFonts w:eastAsia="宋体"/>
            <w:noProof/>
          </w:rPr>
          <w:t>Proposal 1</w:t>
        </w:r>
        <w:r w:rsidR="00865409">
          <w:rPr>
            <w:rFonts w:asciiTheme="minorHAnsi" w:eastAsiaTheme="minorEastAsia" w:hAnsiTheme="minorHAnsi" w:cstheme="minorBidi"/>
            <w:b w:val="0"/>
            <w:noProof/>
            <w:kern w:val="2"/>
            <w:sz w:val="21"/>
            <w:szCs w:val="22"/>
            <w:lang w:val="en-US" w:eastAsia="zh-CN"/>
            <w14:ligatures w14:val="standardContextual"/>
          </w:rPr>
          <w:tab/>
        </w:r>
        <w:r w:rsidR="00865409" w:rsidRPr="00E905A6">
          <w:rPr>
            <w:rStyle w:val="Hyperlink"/>
            <w:rFonts w:eastAsia="宋体"/>
            <w:noProof/>
          </w:rPr>
          <w:t>RAN2 confirms to support the scenario where the UE-sided model training takes place only within UE and UE will hence not transfer the collected training data to NW.</w:t>
        </w:r>
      </w:hyperlink>
    </w:p>
    <w:p w14:paraId="3E234BD5" w14:textId="495FE707" w:rsidR="00865409" w:rsidRDefault="0086540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840" w:history="1">
        <w:r w:rsidRPr="00E905A6">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E905A6">
          <w:rPr>
            <w:rStyle w:val="Hyperlink"/>
            <w:rFonts w:eastAsia="宋体"/>
            <w:noProof/>
          </w:rPr>
          <w:t>If the scenario in P1 is supported, RAN2 further analyses approaches for UE to request measurement configurations from NW for collecting the training data demanded by UE. FFS if the same approach can be used for other scenarios too, wherein NW (OAM, OTT, CN) trains the UE-sided model.</w:t>
        </w:r>
      </w:hyperlink>
    </w:p>
    <w:p w14:paraId="6A0D96D2" w14:textId="6B210B2F"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lastRenderedPageBreak/>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DA32" w14:textId="77777777" w:rsidR="0027016F" w:rsidRDefault="0027016F">
      <w:pPr>
        <w:spacing w:after="0"/>
      </w:pPr>
      <w:r>
        <w:separator/>
      </w:r>
    </w:p>
  </w:endnote>
  <w:endnote w:type="continuationSeparator" w:id="0">
    <w:p w14:paraId="254EDBBC" w14:textId="77777777" w:rsidR="0027016F" w:rsidRDefault="0027016F">
      <w:pPr>
        <w:spacing w:after="0"/>
      </w:pPr>
      <w:r>
        <w:continuationSeparator/>
      </w:r>
    </w:p>
  </w:endnote>
  <w:endnote w:type="continuationNotice" w:id="1">
    <w:p w14:paraId="74EC8E9D" w14:textId="77777777" w:rsidR="0027016F" w:rsidRDefault="00270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02A8E" w14:textId="77777777" w:rsidR="0027016F" w:rsidRDefault="0027016F">
      <w:pPr>
        <w:spacing w:after="0"/>
      </w:pPr>
      <w:r>
        <w:separator/>
      </w:r>
    </w:p>
  </w:footnote>
  <w:footnote w:type="continuationSeparator" w:id="0">
    <w:p w14:paraId="3E9B521F" w14:textId="77777777" w:rsidR="0027016F" w:rsidRDefault="0027016F">
      <w:pPr>
        <w:spacing w:after="0"/>
      </w:pPr>
      <w:r>
        <w:continuationSeparator/>
      </w:r>
    </w:p>
  </w:footnote>
  <w:footnote w:type="continuationNotice" w:id="1">
    <w:p w14:paraId="0A1B13B9" w14:textId="77777777" w:rsidR="0027016F" w:rsidRDefault="00270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4"/>
  </w:num>
  <w:num w:numId="2" w16cid:durableId="1318144947">
    <w:abstractNumId w:val="31"/>
  </w:num>
  <w:num w:numId="3" w16cid:durableId="990252826">
    <w:abstractNumId w:val="21"/>
  </w:num>
  <w:num w:numId="4" w16cid:durableId="1499688829">
    <w:abstractNumId w:val="7"/>
  </w:num>
  <w:num w:numId="5" w16cid:durableId="1963414938">
    <w:abstractNumId w:val="18"/>
  </w:num>
  <w:num w:numId="6" w16cid:durableId="609704568">
    <w:abstractNumId w:val="23"/>
  </w:num>
  <w:num w:numId="7" w16cid:durableId="1672247834">
    <w:abstractNumId w:val="29"/>
  </w:num>
  <w:num w:numId="8" w16cid:durableId="249626638">
    <w:abstractNumId w:val="35"/>
  </w:num>
  <w:num w:numId="9" w16cid:durableId="1390493707">
    <w:abstractNumId w:val="28"/>
  </w:num>
  <w:num w:numId="10" w16cid:durableId="1354382464">
    <w:abstractNumId w:val="24"/>
  </w:num>
  <w:num w:numId="11" w16cid:durableId="466515275">
    <w:abstractNumId w:val="18"/>
    <w:lvlOverride w:ilvl="0">
      <w:startOverride w:val="1"/>
    </w:lvlOverride>
  </w:num>
  <w:num w:numId="12" w16cid:durableId="1011953372">
    <w:abstractNumId w:val="23"/>
    <w:lvlOverride w:ilvl="0">
      <w:startOverride w:val="1"/>
    </w:lvlOverride>
  </w:num>
  <w:num w:numId="13" w16cid:durableId="1365905674">
    <w:abstractNumId w:val="18"/>
    <w:lvlOverride w:ilvl="0">
      <w:startOverride w:val="1"/>
    </w:lvlOverride>
  </w:num>
  <w:num w:numId="14" w16cid:durableId="847478145">
    <w:abstractNumId w:val="37"/>
  </w:num>
  <w:num w:numId="15" w16cid:durableId="823276333">
    <w:abstractNumId w:val="17"/>
  </w:num>
  <w:num w:numId="16" w16cid:durableId="2099331235">
    <w:abstractNumId w:val="30"/>
  </w:num>
  <w:num w:numId="17" w16cid:durableId="612172746">
    <w:abstractNumId w:val="2"/>
  </w:num>
  <w:num w:numId="18" w16cid:durableId="1222248332">
    <w:abstractNumId w:val="9"/>
  </w:num>
  <w:num w:numId="19" w16cid:durableId="1420905285">
    <w:abstractNumId w:val="8"/>
  </w:num>
  <w:num w:numId="20" w16cid:durableId="729185214">
    <w:abstractNumId w:val="18"/>
  </w:num>
  <w:num w:numId="21" w16cid:durableId="1648627514">
    <w:abstractNumId w:val="4"/>
  </w:num>
  <w:num w:numId="22" w16cid:durableId="1865171419">
    <w:abstractNumId w:val="20"/>
  </w:num>
  <w:num w:numId="23" w16cid:durableId="1301576186">
    <w:abstractNumId w:val="3"/>
  </w:num>
  <w:num w:numId="24" w16cid:durableId="1260723169">
    <w:abstractNumId w:val="14"/>
  </w:num>
  <w:num w:numId="25" w16cid:durableId="1199440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5"/>
  </w:num>
  <w:num w:numId="27" w16cid:durableId="425540191">
    <w:abstractNumId w:val="38"/>
  </w:num>
  <w:num w:numId="28" w16cid:durableId="923338336">
    <w:abstractNumId w:val="16"/>
  </w:num>
  <w:num w:numId="29" w16cid:durableId="1879389259">
    <w:abstractNumId w:val="39"/>
  </w:num>
  <w:num w:numId="30" w16cid:durableId="1199514275">
    <w:abstractNumId w:val="19"/>
  </w:num>
  <w:num w:numId="31" w16cid:durableId="440951343">
    <w:abstractNumId w:val="10"/>
  </w:num>
  <w:num w:numId="32" w16cid:durableId="1390574721">
    <w:abstractNumId w:val="11"/>
  </w:num>
  <w:num w:numId="33" w16cid:durableId="1985505945">
    <w:abstractNumId w:val="13"/>
  </w:num>
  <w:num w:numId="34" w16cid:durableId="1876579890">
    <w:abstractNumId w:val="32"/>
  </w:num>
  <w:num w:numId="35" w16cid:durableId="1845977418">
    <w:abstractNumId w:val="6"/>
  </w:num>
  <w:num w:numId="36" w16cid:durableId="1125660264">
    <w:abstractNumId w:val="22"/>
  </w:num>
  <w:num w:numId="37" w16cid:durableId="1791898913">
    <w:abstractNumId w:val="5"/>
  </w:num>
  <w:num w:numId="38" w16cid:durableId="2082943998">
    <w:abstractNumId w:val="33"/>
  </w:num>
  <w:num w:numId="39" w16cid:durableId="1082995877">
    <w:abstractNumId w:val="36"/>
  </w:num>
  <w:num w:numId="40" w16cid:durableId="1101411728">
    <w:abstractNumId w:val="0"/>
  </w:num>
  <w:num w:numId="41" w16cid:durableId="1833595108">
    <w:abstractNumId w:val="12"/>
  </w:num>
  <w:num w:numId="42" w16cid:durableId="1091200368">
    <w:abstractNumId w:val="26"/>
  </w:num>
  <w:num w:numId="43" w16cid:durableId="115032834">
    <w:abstractNumId w:val="27"/>
  </w:num>
  <w:num w:numId="44" w16cid:durableId="168174118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4B2"/>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7F5"/>
    <w:rsid w:val="00044ACC"/>
    <w:rsid w:val="00044D43"/>
    <w:rsid w:val="00044D58"/>
    <w:rsid w:val="00045418"/>
    <w:rsid w:val="000455D1"/>
    <w:rsid w:val="00045AD0"/>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3BD0"/>
    <w:rsid w:val="00115FF7"/>
    <w:rsid w:val="001176E9"/>
    <w:rsid w:val="00117BBA"/>
    <w:rsid w:val="0012011D"/>
    <w:rsid w:val="00120199"/>
    <w:rsid w:val="00120983"/>
    <w:rsid w:val="001209A4"/>
    <w:rsid w:val="00121E34"/>
    <w:rsid w:val="001231C3"/>
    <w:rsid w:val="00123BD6"/>
    <w:rsid w:val="00123DFC"/>
    <w:rsid w:val="00123FF4"/>
    <w:rsid w:val="0012480F"/>
    <w:rsid w:val="00126817"/>
    <w:rsid w:val="00126DE3"/>
    <w:rsid w:val="001273EF"/>
    <w:rsid w:val="00127B74"/>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0F38"/>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22C"/>
    <w:rsid w:val="001D3FCD"/>
    <w:rsid w:val="001D50EA"/>
    <w:rsid w:val="001D6856"/>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930"/>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D34"/>
    <w:rsid w:val="002340B6"/>
    <w:rsid w:val="0023453F"/>
    <w:rsid w:val="00234D81"/>
    <w:rsid w:val="002357DF"/>
    <w:rsid w:val="00236F69"/>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6F"/>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06B"/>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0D62"/>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0BC"/>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4C2"/>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2527"/>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1828"/>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325"/>
    <w:rsid w:val="00406A8A"/>
    <w:rsid w:val="00407B8E"/>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37760"/>
    <w:rsid w:val="004403FA"/>
    <w:rsid w:val="00440493"/>
    <w:rsid w:val="004409C9"/>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0EF"/>
    <w:rsid w:val="00461693"/>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43DC"/>
    <w:rsid w:val="0051447E"/>
    <w:rsid w:val="00514511"/>
    <w:rsid w:val="005155F8"/>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6582"/>
    <w:rsid w:val="00526746"/>
    <w:rsid w:val="0052708E"/>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2CB0"/>
    <w:rsid w:val="005632B9"/>
    <w:rsid w:val="005638A5"/>
    <w:rsid w:val="00564216"/>
    <w:rsid w:val="00566D1E"/>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1DE"/>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0E33"/>
    <w:rsid w:val="005D321C"/>
    <w:rsid w:val="005D429B"/>
    <w:rsid w:val="005D486B"/>
    <w:rsid w:val="005D495F"/>
    <w:rsid w:val="005D582C"/>
    <w:rsid w:val="005D650B"/>
    <w:rsid w:val="005D6D36"/>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1C8"/>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D7E"/>
    <w:rsid w:val="006611DF"/>
    <w:rsid w:val="0066349C"/>
    <w:rsid w:val="00663C03"/>
    <w:rsid w:val="00664ED3"/>
    <w:rsid w:val="00665902"/>
    <w:rsid w:val="00666432"/>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77C44"/>
    <w:rsid w:val="006806A7"/>
    <w:rsid w:val="00681B9C"/>
    <w:rsid w:val="0068205A"/>
    <w:rsid w:val="0068291A"/>
    <w:rsid w:val="0068431E"/>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5DFD"/>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15EB"/>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6E1"/>
    <w:rsid w:val="00743D31"/>
    <w:rsid w:val="0074480B"/>
    <w:rsid w:val="00745D90"/>
    <w:rsid w:val="00745EF3"/>
    <w:rsid w:val="007460F8"/>
    <w:rsid w:val="00746261"/>
    <w:rsid w:val="0074752A"/>
    <w:rsid w:val="00747A14"/>
    <w:rsid w:val="0075024C"/>
    <w:rsid w:val="0075070F"/>
    <w:rsid w:val="00750BB7"/>
    <w:rsid w:val="00750F7A"/>
    <w:rsid w:val="00751164"/>
    <w:rsid w:val="007513FC"/>
    <w:rsid w:val="0075292D"/>
    <w:rsid w:val="007531DC"/>
    <w:rsid w:val="00753590"/>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2FA"/>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401D8"/>
    <w:rsid w:val="00841A5D"/>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5409"/>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26D4"/>
    <w:rsid w:val="008A2BFB"/>
    <w:rsid w:val="008A3ED6"/>
    <w:rsid w:val="008A3EE6"/>
    <w:rsid w:val="008A42E0"/>
    <w:rsid w:val="008A53B3"/>
    <w:rsid w:val="008A63DC"/>
    <w:rsid w:val="008A72F8"/>
    <w:rsid w:val="008A74DF"/>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CB"/>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2FF7"/>
    <w:rsid w:val="009636BD"/>
    <w:rsid w:val="0096404F"/>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6CEF"/>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E0F"/>
    <w:rsid w:val="009B62C3"/>
    <w:rsid w:val="009B66AE"/>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5A39"/>
    <w:rsid w:val="009D6E26"/>
    <w:rsid w:val="009D71B6"/>
    <w:rsid w:val="009D7573"/>
    <w:rsid w:val="009D7C41"/>
    <w:rsid w:val="009D7D10"/>
    <w:rsid w:val="009E3A54"/>
    <w:rsid w:val="009E3C63"/>
    <w:rsid w:val="009E3CA5"/>
    <w:rsid w:val="009E4D50"/>
    <w:rsid w:val="009E54BD"/>
    <w:rsid w:val="009E5606"/>
    <w:rsid w:val="009E59BB"/>
    <w:rsid w:val="009E64DF"/>
    <w:rsid w:val="009E7503"/>
    <w:rsid w:val="009E7F13"/>
    <w:rsid w:val="009F0546"/>
    <w:rsid w:val="009F0E33"/>
    <w:rsid w:val="009F13C5"/>
    <w:rsid w:val="009F1705"/>
    <w:rsid w:val="009F22B7"/>
    <w:rsid w:val="009F256A"/>
    <w:rsid w:val="009F2B14"/>
    <w:rsid w:val="009F2B62"/>
    <w:rsid w:val="009F361A"/>
    <w:rsid w:val="009F4973"/>
    <w:rsid w:val="009F4A8F"/>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92"/>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0A0"/>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90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26D3"/>
    <w:rsid w:val="00B92AB6"/>
    <w:rsid w:val="00B92F41"/>
    <w:rsid w:val="00B92FAB"/>
    <w:rsid w:val="00B9341F"/>
    <w:rsid w:val="00B93722"/>
    <w:rsid w:val="00B93C34"/>
    <w:rsid w:val="00B942C1"/>
    <w:rsid w:val="00B9530D"/>
    <w:rsid w:val="00B95E03"/>
    <w:rsid w:val="00B961F4"/>
    <w:rsid w:val="00B969B2"/>
    <w:rsid w:val="00B97085"/>
    <w:rsid w:val="00B97103"/>
    <w:rsid w:val="00B97297"/>
    <w:rsid w:val="00B972DC"/>
    <w:rsid w:val="00B97703"/>
    <w:rsid w:val="00BA0154"/>
    <w:rsid w:val="00BA07B6"/>
    <w:rsid w:val="00BA0B62"/>
    <w:rsid w:val="00BA2299"/>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082"/>
    <w:rsid w:val="00BF6CC9"/>
    <w:rsid w:val="00C017FA"/>
    <w:rsid w:val="00C01A4A"/>
    <w:rsid w:val="00C0207B"/>
    <w:rsid w:val="00C0250A"/>
    <w:rsid w:val="00C0261E"/>
    <w:rsid w:val="00C02AE4"/>
    <w:rsid w:val="00C030C9"/>
    <w:rsid w:val="00C03D31"/>
    <w:rsid w:val="00C052FA"/>
    <w:rsid w:val="00C0564F"/>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7501"/>
    <w:rsid w:val="00C67EEA"/>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BA1"/>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169F"/>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AF5"/>
    <w:rsid w:val="00EF2CE0"/>
    <w:rsid w:val="00EF2EF0"/>
    <w:rsid w:val="00EF3AD8"/>
    <w:rsid w:val="00EF3C80"/>
    <w:rsid w:val="00EF4831"/>
    <w:rsid w:val="00EF4CF6"/>
    <w:rsid w:val="00EF4D13"/>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AAA"/>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DBD"/>
    <w:rsid w:val="00F51EC7"/>
    <w:rsid w:val="00F520E1"/>
    <w:rsid w:val="00F5372D"/>
    <w:rsid w:val="00F55AB8"/>
    <w:rsid w:val="00F55B65"/>
    <w:rsid w:val="00F56679"/>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5AF"/>
    <w:rsid w:val="00FD1B8A"/>
    <w:rsid w:val="00FD1C3A"/>
    <w:rsid w:val="00FD1DF0"/>
    <w:rsid w:val="00FD20F6"/>
    <w:rsid w:val="00FD30FE"/>
    <w:rsid w:val="00FD35A7"/>
    <w:rsid w:val="00FD42C4"/>
    <w:rsid w:val="00FD5541"/>
    <w:rsid w:val="00FD73DF"/>
    <w:rsid w:val="00FD76DC"/>
    <w:rsid w:val="00FD7FF4"/>
    <w:rsid w:val="00FE014C"/>
    <w:rsid w:val="00FE03A4"/>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 w:val="0CE72F96"/>
    <w:rsid w:val="1905DE94"/>
    <w:rsid w:val="1A822DA4"/>
    <w:rsid w:val="235BF185"/>
    <w:rsid w:val="2606895F"/>
    <w:rsid w:val="29B2D4F5"/>
    <w:rsid w:val="2E115C4F"/>
    <w:rsid w:val="4EE51AD4"/>
    <w:rsid w:val="6AE466FC"/>
    <w:rsid w:val="74E77A79"/>
    <w:rsid w:val="7FB89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ui-provider">
    <w:name w:val="ui-provider"/>
    <w:basedOn w:val="DefaultParagraphFont"/>
    <w:qFormat/>
    <w:rsid w:val="00664ED3"/>
  </w:style>
  <w:style w:type="character" w:customStyle="1" w:styleId="B10">
    <w:name w:val="B1 (文字)"/>
    <w:qFormat/>
    <w:locked/>
    <w:rsid w:val="00FD5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95567322">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25346030">
      <w:bodyDiv w:val="1"/>
      <w:marLeft w:val="0"/>
      <w:marRight w:val="0"/>
      <w:marTop w:val="0"/>
      <w:marBottom w:val="0"/>
      <w:divBdr>
        <w:top w:val="none" w:sz="0" w:space="0" w:color="auto"/>
        <w:left w:val="none" w:sz="0" w:space="0" w:color="auto"/>
        <w:bottom w:val="none" w:sz="0" w:space="0" w:color="auto"/>
        <w:right w:val="none" w:sz="0" w:space="0" w:color="auto"/>
      </w:divBdr>
    </w:div>
    <w:div w:id="440761457">
      <w:bodyDiv w:val="1"/>
      <w:marLeft w:val="0"/>
      <w:marRight w:val="0"/>
      <w:marTop w:val="0"/>
      <w:marBottom w:val="0"/>
      <w:divBdr>
        <w:top w:val="none" w:sz="0" w:space="0" w:color="auto"/>
        <w:left w:val="none" w:sz="0" w:space="0" w:color="auto"/>
        <w:bottom w:val="none" w:sz="0" w:space="0" w:color="auto"/>
        <w:right w:val="none" w:sz="0" w:space="0" w:color="auto"/>
      </w:divBdr>
    </w:div>
    <w:div w:id="47908336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3789069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4" ma:contentTypeDescription="Create a new document." ma:contentTypeScope="" ma:versionID="fd27958c36d999f70d31212b8de4de76">
  <xsd:schema xmlns:xsd="http://www.w3.org/2001/XMLSchema" xmlns:xs="http://www.w3.org/2001/XMLSchema" xmlns:p="http://schemas.microsoft.com/office/2006/metadata/properties" xmlns:ns2="51edf146-0e9f-483c-85bd-42817493c4f1" targetNamespace="http://schemas.microsoft.com/office/2006/metadata/properties" ma:root="true" ma:fieldsID="c73055478ec69cca4843fa6f77869430"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72B70F8B-5FC0-4082-8827-6D98EFA0E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844</Words>
  <Characters>4588</Characters>
  <Application>Microsoft Office Word</Application>
  <DocSecurity>0</DocSecurity>
  <Lines>38</Lines>
  <Paragraphs>10</Paragraphs>
  <ScaleCrop>false</ScaleCrop>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11</cp:revision>
  <cp:lastPrinted>2018-05-22T10:28:00Z</cp:lastPrinted>
  <dcterms:created xsi:type="dcterms:W3CDTF">2024-04-01T14:34:00Z</dcterms:created>
  <dcterms:modified xsi:type="dcterms:W3CDTF">2024-04-04T13:50:00Z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